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07</w:t>
      </w:r>
      <w:r>
        <w:rPr/>
        <w:t>.0</w:t>
      </w:r>
      <w:r>
        <w:rPr/>
        <w:t>5</w:t>
      </w:r>
      <w:r>
        <w:rPr/>
        <w:t>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Temat: Wyższe kwasy karboksylowe.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1. </w:t>
      </w:r>
      <w:bookmarkStart w:id="0" w:name="D2rR5J162_pl_main__24"/>
      <w:bookmarkEnd w:id="0"/>
      <w:r>
        <w:rPr/>
        <w:t>Wyższe kwasy karboksylowe to kwasy zawierające długie łańcuchy węglowe.</w:t>
      </w:r>
    </w:p>
    <w:p>
      <w:pPr>
        <w:pStyle w:val="Normal"/>
        <w:jc w:val="left"/>
        <w:rPr/>
      </w:pPr>
      <w:bookmarkStart w:id="1" w:name="D2rR5J162_pl_main__26"/>
      <w:bookmarkEnd w:id="1"/>
      <w:r>
        <w:rPr/>
        <w:t xml:space="preserve">Wyższe kwasy karboksylowe nazywamy również tłuszczowymi, gdyż cząsteczki tłuszczów zawierają w swym składzie reszty tych kwasów.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2. Kwasy wyższe, które powinniście zapamiętać: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center"/>
        <w:rPr/>
      </w:pPr>
      <w:r>
        <w:rPr>
          <w:sz w:val="30"/>
          <w:szCs w:val="30"/>
        </w:rPr>
        <w:t>kwas palmitynowy C</w:t>
      </w:r>
      <w:r>
        <w:rPr>
          <w:sz w:val="30"/>
          <w:szCs w:val="30"/>
          <w:vertAlign w:val="subscript"/>
        </w:rPr>
        <w:t>15</w:t>
      </w:r>
      <w:r>
        <w:rPr>
          <w:position w:val="0"/>
          <w:sz w:val="30"/>
          <w:sz w:val="30"/>
          <w:szCs w:val="30"/>
          <w:vertAlign w:val="baseline"/>
        </w:rPr>
        <w:t>H</w:t>
      </w:r>
      <w:r>
        <w:rPr>
          <w:sz w:val="30"/>
          <w:szCs w:val="30"/>
          <w:vertAlign w:val="subscript"/>
        </w:rPr>
        <w:t>31</w:t>
      </w:r>
      <w:r>
        <w:rPr>
          <w:position w:val="0"/>
          <w:sz w:val="30"/>
          <w:sz w:val="30"/>
          <w:szCs w:val="30"/>
          <w:vertAlign w:val="baseline"/>
        </w:rPr>
        <w:t>COOH</w:t>
      </w:r>
    </w:p>
    <w:p>
      <w:pPr>
        <w:pStyle w:val="Normal"/>
        <w:jc w:val="center"/>
        <w:rPr/>
      </w:pPr>
      <w:r>
        <w:rPr>
          <w:position w:val="0"/>
          <w:sz w:val="30"/>
          <w:sz w:val="30"/>
          <w:szCs w:val="30"/>
          <w:vertAlign w:val="baseline"/>
        </w:rPr>
        <w:t>kwas stearynowy C</w:t>
      </w:r>
      <w:r>
        <w:rPr>
          <w:sz w:val="30"/>
          <w:szCs w:val="30"/>
          <w:vertAlign w:val="subscript"/>
        </w:rPr>
        <w:t>17</w:t>
      </w:r>
      <w:r>
        <w:rPr>
          <w:position w:val="0"/>
          <w:sz w:val="30"/>
          <w:sz w:val="30"/>
          <w:szCs w:val="30"/>
          <w:vertAlign w:val="baseline"/>
        </w:rPr>
        <w:t>H</w:t>
      </w:r>
      <w:r>
        <w:rPr>
          <w:sz w:val="30"/>
          <w:szCs w:val="30"/>
          <w:vertAlign w:val="subscript"/>
        </w:rPr>
        <w:t>35</w:t>
      </w:r>
      <w:r>
        <w:rPr>
          <w:position w:val="0"/>
          <w:sz w:val="30"/>
          <w:sz w:val="30"/>
          <w:szCs w:val="30"/>
          <w:vertAlign w:val="baseline"/>
        </w:rPr>
        <w:t>COOH</w:t>
      </w:r>
    </w:p>
    <w:p>
      <w:pPr>
        <w:pStyle w:val="Normal"/>
        <w:jc w:val="center"/>
        <w:rPr/>
      </w:pPr>
      <w:r>
        <w:rPr>
          <w:position w:val="0"/>
          <w:sz w:val="30"/>
          <w:sz w:val="30"/>
          <w:szCs w:val="30"/>
          <w:vertAlign w:val="baseline"/>
        </w:rPr>
        <w:t>kwas oleinowy C</w:t>
      </w:r>
      <w:r>
        <w:rPr>
          <w:sz w:val="30"/>
          <w:szCs w:val="30"/>
          <w:vertAlign w:val="subscript"/>
        </w:rPr>
        <w:t>17</w:t>
      </w:r>
      <w:r>
        <w:rPr>
          <w:position w:val="0"/>
          <w:sz w:val="30"/>
          <w:sz w:val="30"/>
          <w:szCs w:val="30"/>
          <w:vertAlign w:val="baseline"/>
        </w:rPr>
        <w:t>H</w:t>
      </w:r>
      <w:r>
        <w:rPr>
          <w:sz w:val="30"/>
          <w:szCs w:val="30"/>
          <w:vertAlign w:val="subscript"/>
        </w:rPr>
        <w:t>33</w:t>
      </w:r>
      <w:r>
        <w:rPr>
          <w:position w:val="0"/>
          <w:sz w:val="30"/>
          <w:sz w:val="30"/>
          <w:szCs w:val="30"/>
          <w:vertAlign w:val="baseline"/>
        </w:rPr>
        <w:t>COOH</w:t>
      </w:r>
    </w:p>
    <w:p>
      <w:pPr>
        <w:pStyle w:val="Normal"/>
        <w:jc w:val="right"/>
        <w:rPr>
          <w:position w:val="0"/>
          <w:sz w:val="30"/>
          <w:sz w:val="30"/>
          <w:szCs w:val="30"/>
          <w:vertAlign w:val="baseline"/>
        </w:rPr>
      </w:pPr>
      <w:r>
        <w:rPr>
          <w:position w:val="0"/>
          <w:sz w:val="30"/>
          <w:sz w:val="30"/>
          <w:szCs w:val="30"/>
          <w:vertAlign w:val="baseline"/>
        </w:rPr>
      </w:r>
    </w:p>
    <w:p>
      <w:pPr>
        <w:pStyle w:val="Normal"/>
        <w:jc w:val="left"/>
        <w:rPr/>
      </w:pPr>
      <w:r>
        <w:rPr>
          <w:position w:val="0"/>
          <w:sz w:val="24"/>
          <w:sz w:val="24"/>
          <w:szCs w:val="24"/>
          <w:vertAlign w:val="baseline"/>
        </w:rPr>
        <w:t>Kwas palmitynowy i stearynowy to</w:t>
      </w:r>
      <w:r>
        <w:rPr>
          <w:color w:val="CE181E"/>
          <w:position w:val="0"/>
          <w:sz w:val="24"/>
          <w:sz w:val="24"/>
          <w:szCs w:val="24"/>
          <w:vertAlign w:val="baseline"/>
        </w:rPr>
        <w:t xml:space="preserve"> kwasy nasycone</w:t>
      </w:r>
      <w:r>
        <w:rPr>
          <w:position w:val="0"/>
          <w:sz w:val="24"/>
          <w:sz w:val="24"/>
          <w:szCs w:val="24"/>
          <w:vertAlign w:val="baseline"/>
        </w:rPr>
        <w:t xml:space="preserve"> (mają wszystkie </w:t>
      </w:r>
      <w:r>
        <w:rPr>
          <w:color w:val="CE181E"/>
          <w:position w:val="0"/>
          <w:sz w:val="24"/>
          <w:sz w:val="24"/>
          <w:szCs w:val="24"/>
          <w:vertAlign w:val="baseline"/>
        </w:rPr>
        <w:t>wiązania pojedyncze</w:t>
      </w:r>
      <w:r>
        <w:rPr>
          <w:position w:val="0"/>
          <w:sz w:val="24"/>
          <w:sz w:val="24"/>
          <w:szCs w:val="24"/>
          <w:vertAlign w:val="baseline"/>
        </w:rPr>
        <w:t xml:space="preserve"> między atomami węgla).</w:t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/>
      </w:pPr>
      <w:r>
        <w:rPr>
          <w:position w:val="0"/>
          <w:sz w:val="24"/>
          <w:sz w:val="24"/>
          <w:szCs w:val="24"/>
          <w:vertAlign w:val="baseline"/>
        </w:rPr>
        <w:t xml:space="preserve">Kwas oleinowy jest </w:t>
      </w:r>
      <w:r>
        <w:rPr>
          <w:color w:val="CE181E"/>
          <w:position w:val="0"/>
          <w:sz w:val="24"/>
          <w:sz w:val="24"/>
          <w:szCs w:val="24"/>
          <w:vertAlign w:val="baseline"/>
        </w:rPr>
        <w:t>kwasem nienasyconym</w:t>
      </w:r>
      <w:r>
        <w:rPr>
          <w:position w:val="0"/>
          <w:sz w:val="24"/>
          <w:sz w:val="24"/>
          <w:szCs w:val="24"/>
          <w:vertAlign w:val="baseline"/>
        </w:rPr>
        <w:t xml:space="preserve">. W jego cząsteczce występuje </w:t>
      </w:r>
      <w:r>
        <w:rPr>
          <w:color w:val="CE181E"/>
          <w:position w:val="0"/>
          <w:sz w:val="24"/>
          <w:sz w:val="24"/>
          <w:szCs w:val="24"/>
          <w:vertAlign w:val="baseline"/>
        </w:rPr>
        <w:t>jedno wiązanie podwójne</w:t>
      </w:r>
      <w:r>
        <w:rPr>
          <w:position w:val="0"/>
          <w:sz w:val="24"/>
          <w:sz w:val="24"/>
          <w:szCs w:val="24"/>
          <w:vertAlign w:val="baseline"/>
        </w:rPr>
        <w:t xml:space="preserve"> między dziewiątym a dziesiątym atomem węgla. </w:t>
      </w:r>
    </w:p>
    <w:p>
      <w:pPr>
        <w:pStyle w:val="Normal"/>
        <w:jc w:val="left"/>
        <w:rPr/>
      </w:pPr>
      <w:r>
        <w:rPr>
          <w:position w:val="0"/>
          <w:sz w:val="24"/>
          <w:sz w:val="24"/>
          <w:szCs w:val="24"/>
          <w:vertAlign w:val="baseline"/>
        </w:rPr>
        <w:t xml:space="preserve">                                    </w:t>
      </w:r>
      <w:r>
        <w:rPr>
          <w:color w:val="00A65D"/>
          <w:position w:val="0"/>
          <w:sz w:val="24"/>
          <w:sz w:val="24"/>
          <w:szCs w:val="24"/>
          <w:vertAlign w:val="baseline"/>
        </w:rPr>
        <w:t>10           9                                 1</w:t>
      </w:r>
    </w:p>
    <w:p>
      <w:pPr>
        <w:pStyle w:val="Normal"/>
        <w:jc w:val="left"/>
        <w:rPr/>
      </w:pPr>
      <w:r>
        <w:rPr>
          <w:position w:val="0"/>
          <w:sz w:val="36"/>
          <w:sz w:val="36"/>
          <w:szCs w:val="36"/>
          <w:vertAlign w:val="baseline"/>
        </w:rPr>
        <w:t>CH</w:t>
      </w:r>
      <w:r>
        <w:rPr>
          <w:sz w:val="36"/>
          <w:szCs w:val="36"/>
          <w:vertAlign w:val="subscript"/>
        </w:rPr>
        <w:t>3</w:t>
      </w:r>
      <w:r>
        <w:rPr>
          <w:position w:val="0"/>
          <w:sz w:val="36"/>
          <w:sz w:val="36"/>
          <w:szCs w:val="36"/>
          <w:vertAlign w:val="baseline"/>
        </w:rPr>
        <w:t>- (CH</w:t>
      </w:r>
      <w:r>
        <w:rPr>
          <w:sz w:val="36"/>
          <w:szCs w:val="36"/>
          <w:vertAlign w:val="subscript"/>
        </w:rPr>
        <w:t>2</w:t>
      </w:r>
      <w:r>
        <w:rPr>
          <w:position w:val="0"/>
          <w:sz w:val="36"/>
          <w:sz w:val="36"/>
          <w:szCs w:val="36"/>
          <w:vertAlign w:val="baseline"/>
        </w:rPr>
        <w:t>)</w:t>
      </w:r>
      <w:r>
        <w:rPr>
          <w:sz w:val="36"/>
          <w:szCs w:val="36"/>
          <w:vertAlign w:val="subscript"/>
        </w:rPr>
        <w:t>7</w:t>
      </w:r>
      <w:r>
        <w:rPr>
          <w:position w:val="0"/>
          <w:sz w:val="36"/>
          <w:sz w:val="36"/>
          <w:szCs w:val="36"/>
          <w:vertAlign w:val="baseline"/>
        </w:rPr>
        <w:t xml:space="preserve"> – CH = CH – (CH</w:t>
      </w:r>
      <w:r>
        <w:rPr>
          <w:sz w:val="36"/>
          <w:szCs w:val="36"/>
          <w:vertAlign w:val="subscript"/>
        </w:rPr>
        <w:t>2</w:t>
      </w:r>
      <w:r>
        <w:rPr>
          <w:position w:val="0"/>
          <w:sz w:val="36"/>
          <w:sz w:val="36"/>
          <w:szCs w:val="36"/>
          <w:vertAlign w:val="baseline"/>
        </w:rPr>
        <w:t>)</w:t>
      </w:r>
      <w:r>
        <w:rPr>
          <w:sz w:val="36"/>
          <w:szCs w:val="36"/>
          <w:vertAlign w:val="subscript"/>
        </w:rPr>
        <w:t>7</w:t>
      </w:r>
      <w:r>
        <w:rPr>
          <w:position w:val="0"/>
          <w:sz w:val="36"/>
          <w:sz w:val="36"/>
          <w:szCs w:val="36"/>
          <w:vertAlign w:val="baseline"/>
        </w:rPr>
        <w:t xml:space="preserve"> - COOH</w:t>
      </w:r>
    </w:p>
    <w:p>
      <w:pPr>
        <w:pStyle w:val="Normal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left"/>
        <w:rPr/>
      </w:pPr>
      <w:r>
        <w:rPr>
          <w:sz w:val="24"/>
          <w:szCs w:val="24"/>
        </w:rPr>
        <w:t xml:space="preserve">Kwas oleinowy podobnie jak i inne związki nienasycone odbarwia wodę bromową. </w:t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932180</wp:posOffset>
            </wp:positionH>
            <wp:positionV relativeFrom="paragraph">
              <wp:posOffset>90170</wp:posOffset>
            </wp:positionV>
            <wp:extent cx="4255770" cy="168084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77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center"/>
        <w:rPr/>
      </w:pPr>
      <w:r>
        <w:rPr>
          <w:sz w:val="24"/>
          <w:szCs w:val="24"/>
        </w:rPr>
        <w:t>Porównanie właściwości niższych i wyższych  kwasów karboksylowych</w:t>
      </w:r>
    </w:p>
    <w:tbl>
      <w:tblPr>
        <w:tblW w:w="9638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37"/>
        <w:gridCol w:w="1512"/>
        <w:gridCol w:w="1141"/>
        <w:gridCol w:w="1162"/>
        <w:gridCol w:w="1940"/>
        <w:gridCol w:w="2045"/>
      </w:tblGrid>
      <w:tr>
        <w:trPr>
          <w:tblHeader w:val="true"/>
        </w:trPr>
        <w:tc>
          <w:tcPr>
            <w:tcW w:w="1837" w:type="dxa"/>
            <w:tcBorders/>
            <w:shd w:fill="auto" w:val="clear"/>
            <w:vAlign w:val="center"/>
          </w:tcPr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" w:name="D2rR5J162_pl_main__6X"/>
            <w:bookmarkEnd w:id="2"/>
            <w:r>
              <w:rPr/>
              <w:t>Nazwa substancji</w:t>
            </w:r>
          </w:p>
        </w:tc>
        <w:tc>
          <w:tcPr>
            <w:tcW w:w="1141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3" w:name="D2rR5J162_pl_main__6Z"/>
            <w:bookmarkEnd w:id="3"/>
            <w:r>
              <w:rPr/>
              <w:t>Stan skupienia</w:t>
            </w:r>
          </w:p>
        </w:tc>
        <w:tc>
          <w:tcPr>
            <w:tcW w:w="116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4" w:name="D2rR5J162_pl_main__71"/>
            <w:bookmarkEnd w:id="4"/>
            <w:r>
              <w:rPr/>
              <w:t>Barwa</w:t>
            </w:r>
          </w:p>
        </w:tc>
        <w:tc>
          <w:tcPr>
            <w:tcW w:w="1940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5" w:name="D2rR5J162_pl_main__73"/>
            <w:bookmarkEnd w:id="5"/>
            <w:r>
              <w:rPr/>
              <w:t>Zapach</w:t>
            </w:r>
          </w:p>
        </w:tc>
        <w:tc>
          <w:tcPr>
            <w:tcW w:w="2045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6" w:name="D2rR5J162_pl_main__75"/>
            <w:bookmarkEnd w:id="6"/>
            <w:r>
              <w:rPr/>
              <w:t>Rozpuszczalność w wodzie</w:t>
            </w:r>
          </w:p>
        </w:tc>
      </w:tr>
      <w:tr>
        <w:trPr/>
        <w:tc>
          <w:tcPr>
            <w:tcW w:w="1837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7" w:name="D2rR5J162_pl_main__79"/>
            <w:bookmarkEnd w:id="7"/>
            <w:r>
              <w:rPr>
                <w:highlight w:val="yellow"/>
              </w:rPr>
              <w:t>Niższy kwas karboksylowy</w:t>
            </w:r>
          </w:p>
        </w:tc>
        <w:tc>
          <w:tcPr>
            <w:tcW w:w="151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8" w:name="D2rR5J162_pl_main__7B"/>
            <w:bookmarkEnd w:id="8"/>
            <w:r>
              <w:rPr/>
              <w:t>kwas octowy</w:t>
            </w:r>
          </w:p>
        </w:tc>
        <w:tc>
          <w:tcPr>
            <w:tcW w:w="1141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9" w:name="D2rR5J162_pl_main__7D"/>
            <w:bookmarkEnd w:id="9"/>
            <w:r>
              <w:rPr/>
              <w:t>ciekły</w:t>
            </w:r>
          </w:p>
        </w:tc>
        <w:tc>
          <w:tcPr>
            <w:tcW w:w="116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0" w:name="D2rR5J162_pl_main__7F"/>
            <w:bookmarkEnd w:id="10"/>
            <w:r>
              <w:rPr/>
              <w:t>bezbarwny</w:t>
            </w:r>
          </w:p>
        </w:tc>
        <w:tc>
          <w:tcPr>
            <w:tcW w:w="1940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1" w:name="D2rR5J162_pl_main__7H"/>
            <w:bookmarkEnd w:id="11"/>
            <w:r>
              <w:rPr/>
              <w:t>charakterystyczny</w:t>
            </w:r>
          </w:p>
        </w:tc>
        <w:tc>
          <w:tcPr>
            <w:tcW w:w="2045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2" w:name="D2rR5J162_pl_main__7J"/>
            <w:bookmarkEnd w:id="12"/>
            <w:r>
              <w:rPr/>
              <w:t>dobra</w:t>
            </w:r>
          </w:p>
        </w:tc>
      </w:tr>
      <w:tr>
        <w:trPr/>
        <w:tc>
          <w:tcPr>
            <w:tcW w:w="1837" w:type="dxa"/>
            <w:vMerge w:val="restart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3" w:name="D2rR5J162_pl_main__7M"/>
            <w:bookmarkEnd w:id="13"/>
            <w:r>
              <w:rPr>
                <w:highlight w:val="yellow"/>
              </w:rPr>
              <w:t>Wyższe kwasy karboksylowe</w:t>
            </w:r>
          </w:p>
        </w:tc>
        <w:tc>
          <w:tcPr>
            <w:tcW w:w="151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4" w:name="D2rR5J162_pl_main__7O"/>
            <w:bookmarkEnd w:id="14"/>
            <w:r>
              <w:rPr/>
              <w:t>kwas palmitynowy</w:t>
            </w:r>
          </w:p>
        </w:tc>
        <w:tc>
          <w:tcPr>
            <w:tcW w:w="1141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5" w:name="D2rR5J162_pl_main__7Q"/>
            <w:bookmarkEnd w:id="15"/>
            <w:r>
              <w:rPr/>
              <w:t>stały</w:t>
            </w:r>
          </w:p>
        </w:tc>
        <w:tc>
          <w:tcPr>
            <w:tcW w:w="116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6" w:name="D2rR5J162_pl_main__7S"/>
            <w:bookmarkEnd w:id="16"/>
            <w:r>
              <w:rPr/>
              <w:t>biały</w:t>
            </w:r>
          </w:p>
        </w:tc>
        <w:tc>
          <w:tcPr>
            <w:tcW w:w="1940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7" w:name="D2rR5J162_pl_main__7U"/>
            <w:bookmarkEnd w:id="17"/>
            <w:r>
              <w:rPr/>
              <w:t>bezwonny</w:t>
            </w:r>
          </w:p>
        </w:tc>
        <w:tc>
          <w:tcPr>
            <w:tcW w:w="2045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8" w:name="D2rR5J162_pl_main__7W"/>
            <w:bookmarkEnd w:id="18"/>
            <w:r>
              <w:rPr/>
              <w:t>nie rozpuszcza się</w:t>
            </w:r>
          </w:p>
        </w:tc>
      </w:tr>
      <w:tr>
        <w:trPr/>
        <w:tc>
          <w:tcPr>
            <w:tcW w:w="1837" w:type="dxa"/>
            <w:vMerge w:val="continue"/>
            <w:tcBorders/>
            <w:shd w:fill="auto" w:val="clear"/>
            <w:vAlign w:val="center"/>
          </w:tcPr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19" w:name="D2rR5J162_pl_main__7Z"/>
            <w:bookmarkEnd w:id="19"/>
            <w:r>
              <w:rPr/>
              <w:t>kwas stearynowy</w:t>
            </w:r>
          </w:p>
        </w:tc>
        <w:tc>
          <w:tcPr>
            <w:tcW w:w="1141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0" w:name="D2rR5J162_pl_main__81"/>
            <w:bookmarkEnd w:id="20"/>
            <w:r>
              <w:rPr/>
              <w:t>stały</w:t>
            </w:r>
          </w:p>
        </w:tc>
        <w:tc>
          <w:tcPr>
            <w:tcW w:w="116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1" w:name="D2rR5J162_pl_main__83"/>
            <w:bookmarkEnd w:id="21"/>
            <w:r>
              <w:rPr/>
              <w:t>biały</w:t>
            </w:r>
          </w:p>
        </w:tc>
        <w:tc>
          <w:tcPr>
            <w:tcW w:w="1940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2" w:name="D2rR5J162_pl_main__85"/>
            <w:bookmarkEnd w:id="22"/>
            <w:r>
              <w:rPr/>
              <w:t>bezwonny</w:t>
            </w:r>
          </w:p>
        </w:tc>
        <w:tc>
          <w:tcPr>
            <w:tcW w:w="2045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3" w:name="D2rR5J162_pl_main__87"/>
            <w:bookmarkEnd w:id="23"/>
            <w:r>
              <w:rPr/>
              <w:t>nie rozpuszcza się</w:t>
            </w:r>
          </w:p>
        </w:tc>
      </w:tr>
      <w:tr>
        <w:trPr/>
        <w:tc>
          <w:tcPr>
            <w:tcW w:w="1837" w:type="dxa"/>
            <w:vMerge w:val="continue"/>
            <w:tcBorders/>
            <w:shd w:fill="auto" w:val="clear"/>
            <w:vAlign w:val="center"/>
          </w:tcPr>
          <w:p>
            <w:pPr>
              <w:pStyle w:val="Zawartotabeli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4" w:name="D2rR5J162_pl_main__8A"/>
            <w:bookmarkEnd w:id="24"/>
            <w:r>
              <w:rPr/>
              <w:t>kwas oleinowy</w:t>
            </w:r>
          </w:p>
        </w:tc>
        <w:tc>
          <w:tcPr>
            <w:tcW w:w="1141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5" w:name="D2rR5J162_pl_main__8C"/>
            <w:bookmarkEnd w:id="25"/>
            <w:r>
              <w:rPr/>
              <w:t>ciekły</w:t>
            </w:r>
          </w:p>
        </w:tc>
        <w:tc>
          <w:tcPr>
            <w:tcW w:w="1162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6" w:name="D2rR5J162_pl_main__8E"/>
            <w:bookmarkEnd w:id="26"/>
            <w:r>
              <w:rPr/>
              <w:t>lekko żółty</w:t>
            </w:r>
          </w:p>
        </w:tc>
        <w:tc>
          <w:tcPr>
            <w:tcW w:w="1940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7" w:name="D2rR5J162_pl_main__8G"/>
            <w:bookmarkEnd w:id="27"/>
            <w:r>
              <w:rPr/>
              <w:t>charakterystyczny</w:t>
              <w:br/>
              <w:t>(zapach starego oleju)</w:t>
            </w:r>
          </w:p>
        </w:tc>
        <w:tc>
          <w:tcPr>
            <w:tcW w:w="2045" w:type="dxa"/>
            <w:tcBorders/>
            <w:shd w:fill="auto" w:val="clear"/>
            <w:vAlign w:val="center"/>
          </w:tcPr>
          <w:p>
            <w:pPr>
              <w:pStyle w:val="Zawartotabeli"/>
              <w:spacing w:before="0" w:after="283"/>
              <w:rPr/>
            </w:pPr>
            <w:bookmarkStart w:id="28" w:name="D2rR5J162_pl_main__8I"/>
            <w:bookmarkEnd w:id="28"/>
            <w:r>
              <w:rPr/>
              <w:t>nie rozpuszcza się</w:t>
            </w:r>
          </w:p>
        </w:tc>
      </w:tr>
    </w:tbl>
    <w:p>
      <w:pPr>
        <w:pStyle w:val="Tretekstu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retekstu"/>
        <w:jc w:val="center"/>
        <w:rPr/>
      </w:pPr>
      <w:r>
        <w:rPr>
          <w:sz w:val="24"/>
          <w:szCs w:val="24"/>
          <w:highlight w:val="yellow"/>
        </w:rPr>
        <w:t>Dodatkowo:</w:t>
      </w:r>
    </w:p>
    <w:p>
      <w:pPr>
        <w:pStyle w:val="Tretekstu"/>
        <w:jc w:val="left"/>
        <w:rPr/>
      </w:pPr>
      <w:r>
        <w:rPr>
          <w:sz w:val="24"/>
          <w:szCs w:val="24"/>
        </w:rPr>
        <w:t xml:space="preserve">-papierek uniwersalny wskaźnikowy nie zmienia barwy w roztworze kwasów wyższych, zatem maja one </w:t>
      </w:r>
      <w:r>
        <w:rPr>
          <w:color w:val="CE181E"/>
          <w:sz w:val="24"/>
          <w:szCs w:val="24"/>
        </w:rPr>
        <w:t>odczyn obojętny</w:t>
      </w:r>
    </w:p>
    <w:p>
      <w:pPr>
        <w:pStyle w:val="Tretekstu"/>
        <w:jc w:val="left"/>
        <w:rPr/>
      </w:pPr>
      <w:r>
        <w:rPr>
          <w:color w:val="000000"/>
          <w:sz w:val="24"/>
          <w:szCs w:val="24"/>
        </w:rPr>
        <w:t xml:space="preserve">- wszystkie wyższe kwasy karboksylowe </w:t>
      </w:r>
      <w:r>
        <w:rPr>
          <w:color w:val="BA131A"/>
          <w:sz w:val="24"/>
          <w:szCs w:val="24"/>
        </w:rPr>
        <w:t>spalają się żółtym płomieniem</w:t>
      </w:r>
    </w:p>
    <w:p>
      <w:pPr>
        <w:pStyle w:val="Tretekstu"/>
        <w:jc w:val="left"/>
        <w:rPr/>
      </w:pPr>
      <w:r>
        <w:rPr>
          <w:color w:val="000000"/>
          <w:sz w:val="24"/>
          <w:szCs w:val="24"/>
        </w:rPr>
        <w:t xml:space="preserve">- wyższe kwasy karboksylowe </w:t>
      </w:r>
      <w:r>
        <w:rPr>
          <w:color w:val="BA131A"/>
          <w:sz w:val="24"/>
          <w:szCs w:val="24"/>
        </w:rPr>
        <w:t>nie ulegają dysocjacji jonowej</w:t>
      </w:r>
    </w:p>
    <w:p>
      <w:pPr>
        <w:pStyle w:val="Tretekstu"/>
        <w:jc w:val="left"/>
        <w:rPr/>
      </w:pPr>
      <w:r>
        <w:rPr>
          <w:color w:val="000000"/>
          <w:sz w:val="24"/>
          <w:szCs w:val="24"/>
        </w:rPr>
        <w:t xml:space="preserve">- wyższe kwasy karboksylowe reagują z zasadami tworząc </w:t>
      </w:r>
      <w:r>
        <w:rPr>
          <w:color w:val="BA131A"/>
          <w:sz w:val="24"/>
          <w:szCs w:val="24"/>
        </w:rPr>
        <w:t>mydła</w:t>
      </w:r>
    </w:p>
    <w:p>
      <w:pPr>
        <w:pStyle w:val="Tretekstu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1219835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jc w:val="left"/>
        <w:rPr/>
      </w:pPr>
      <w:r>
        <w:rPr>
          <w:color w:val="000000"/>
          <w:sz w:val="24"/>
          <w:szCs w:val="24"/>
        </w:rPr>
        <w:t xml:space="preserve">Polecenie </w:t>
      </w:r>
    </w:p>
    <w:p>
      <w:pPr>
        <w:pStyle w:val="Tretekstu"/>
        <w:jc w:val="left"/>
        <w:rPr/>
      </w:pPr>
      <w:r>
        <w:rPr>
          <w:color w:val="000000"/>
          <w:sz w:val="24"/>
          <w:szCs w:val="24"/>
        </w:rPr>
        <w:t xml:space="preserve">Napisz (krótko w punktach) gdzie kwasy organiczne znalazły zastosowanie. </w:t>
      </w:r>
    </w:p>
    <w:p>
      <w:pPr>
        <w:pStyle w:val="Tretekstu"/>
        <w:jc w:val="left"/>
        <w:rPr/>
      </w:pPr>
      <w:r>
        <w:rPr>
          <w:color w:val="000000"/>
          <w:sz w:val="24"/>
          <w:szCs w:val="24"/>
        </w:rPr>
        <w:t xml:space="preserve">Zapoznaj się z linkiem </w:t>
      </w:r>
      <w:hyperlink r:id="rId4">
        <w:r>
          <w:rPr>
            <w:rStyle w:val="Czeinternetowe"/>
            <w:color w:val="000000"/>
            <w:sz w:val="24"/>
            <w:szCs w:val="24"/>
          </w:rPr>
          <w:t>https://epodreczniki.pl/a/wyzsze-kwasy-karboksylowe/D2rR5J162</w:t>
        </w:r>
      </w:hyperlink>
      <w:r>
        <w:rPr>
          <w:color w:val="000000"/>
          <w:sz w:val="24"/>
          <w:szCs w:val="24"/>
        </w:rPr>
        <w:t xml:space="preserve"> </w:t>
      </w:r>
    </w:p>
    <w:p>
      <w:pPr>
        <w:pStyle w:val="Tretekstu"/>
        <w:spacing w:before="0" w:after="140"/>
        <w:jc w:val="left"/>
        <w:rPr/>
      </w:pPr>
      <w:r>
        <w:rPr>
          <w:color w:val="000000"/>
          <w:sz w:val="24"/>
          <w:szCs w:val="24"/>
        </w:rPr>
        <w:t xml:space="preserve">                                     </w:t>
      </w:r>
      <w:hyperlink r:id="rId5">
        <w:r>
          <w:rPr>
            <w:rStyle w:val="Czeinternetowe"/>
            <w:color w:val="000000"/>
            <w:sz w:val="24"/>
            <w:szCs w:val="24"/>
          </w:rPr>
          <w:t>https://epodreczniki.pl/a/wyzsze-kwasy-karboksylowe/D2rR5J162</w:t>
        </w:r>
      </w:hyperlink>
      <w:r>
        <w:rPr>
          <w:color w:val="000000"/>
          <w:sz w:val="24"/>
          <w:szCs w:val="24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s://epodreczniki.pl/a/wyzsze-kwasy-karboksylowe/D2rR5J162" TargetMode="External"/><Relationship Id="rId5" Type="http://schemas.openxmlformats.org/officeDocument/2006/relationships/hyperlink" Target="https://epodreczniki.pl/a/wyzsze-kwasy-karboksylowe/D2rR5J162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LibreOffice/5.4.0.3$Windows_X86_64 LibreOffice_project/7556cbc6811c9d992f4064ab9287069087d7f62c</Application>
  <Pages>2</Pages>
  <Words>214</Words>
  <Characters>1508</Characters>
  <CharactersWithSpaces>1798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2020-04-30T23:29:20Z</dcterms:created>
  <dc:creator/>
  <dc:description/>
  <dc:language>pl-PL</dc:language>
  <cp:lastModifiedBy/>
  <dcterms:modified xsi:type="dcterms:W3CDTF">2020-04-30T23:30:29Z</dcterms:modified>
  <cp:revision>1</cp:revision>
  <dc:subject/>
  <dc:title/>
</cp:coreProperties>
</file>